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>
    <v:background id="_x0000_s2049" o:bwmode="white" fillcolor="#dbe5f1 [660]" o:targetscreensize="800,600">
      <v:fill color2="#d8d8d8 [2732]" angle="-45" type="gradient"/>
    </v:background>
  </w:background>
  <w:body>
    <w:p w:rsidR="00315AA3" w:rsidRPr="00F5287F" w:rsidRDefault="000834F5" w:rsidP="00DC7C91">
      <w:pPr>
        <w:spacing w:after="0" w:line="24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noProof/>
          <w:lang w:eastAsia="it-IT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050" type="#_x0000_t65" style="position:absolute;left:0;text-align:left;margin-left:-1.65pt;margin-top:-18.15pt;width:107.75pt;height:30.95pt;z-index:251660288;mso-wrap-distance-top:7.2pt;mso-wrap-distance-bottom:7.2pt;mso-position-horizontal-relative:margin;mso-position-vertical-relative:margin" o:allowincell="f" fillcolor="#cf7b79 [2421]" strokecolor="#969696" strokeweight=".5pt">
            <v:fill opacity="19661f"/>
            <v:textbox style="mso-next-textbox:#_x0000_s2050" inset="10.8pt,7.2pt,10.8pt">
              <w:txbxContent>
                <w:p w:rsidR="00315AA3" w:rsidRPr="002A7EB7" w:rsidRDefault="00437CAC" w:rsidP="00315AA3">
                  <w:pPr>
                    <w:spacing w:after="0" w:line="240" w:lineRule="auto"/>
                    <w:jc w:val="center"/>
                    <w:rPr>
                      <w:rFonts w:ascii="Tahoma" w:eastAsiaTheme="majorEastAsia" w:hAnsi="Tahoma" w:cs="Tahoma"/>
                      <w:b/>
                      <w:iCs/>
                      <w:sz w:val="24"/>
                      <w:szCs w:val="24"/>
                    </w:rPr>
                  </w:pPr>
                  <w:r w:rsidRPr="002A7EB7">
                    <w:rPr>
                      <w:rFonts w:ascii="Tahoma" w:eastAsiaTheme="majorEastAsia" w:hAnsi="Tahoma" w:cs="Tahoma"/>
                      <w:b/>
                      <w:iCs/>
                      <w:sz w:val="24"/>
                      <w:szCs w:val="24"/>
                    </w:rPr>
                    <w:t>Articolo 1</w:t>
                  </w:r>
                  <w:r w:rsidR="00030AFE">
                    <w:rPr>
                      <w:rFonts w:ascii="Tahoma" w:eastAsiaTheme="majorEastAsia" w:hAnsi="Tahoma" w:cs="Tahoma"/>
                      <w:b/>
                      <w:iCs/>
                      <w:sz w:val="24"/>
                      <w:szCs w:val="24"/>
                    </w:rPr>
                    <w:t>2</w:t>
                  </w:r>
                </w:p>
              </w:txbxContent>
            </v:textbox>
            <w10:wrap type="square" anchorx="margin" anchory="margin"/>
          </v:shape>
        </w:pict>
      </w:r>
    </w:p>
    <w:p w:rsidR="00315AA3" w:rsidRPr="00F5287F" w:rsidRDefault="00315AA3" w:rsidP="00DC7C91">
      <w:pPr>
        <w:spacing w:after="0" w:line="240" w:lineRule="auto"/>
        <w:jc w:val="both"/>
        <w:rPr>
          <w:rFonts w:ascii="Tahoma" w:eastAsia="Times New Roman" w:hAnsi="Tahoma" w:cs="Tahoma"/>
          <w:lang w:eastAsia="it-IT"/>
        </w:rPr>
      </w:pPr>
    </w:p>
    <w:p w:rsidR="00945C2B" w:rsidRPr="00F5287F" w:rsidRDefault="000834F5" w:rsidP="00DC7C91">
      <w:pPr>
        <w:spacing w:after="0" w:line="240" w:lineRule="auto"/>
        <w:jc w:val="both"/>
        <w:rPr>
          <w:rFonts w:ascii="Tahoma" w:eastAsia="Times New Roman" w:hAnsi="Tahoma" w:cs="Tahoma"/>
          <w:lang w:eastAsia="it-IT"/>
        </w:rPr>
      </w:pPr>
      <w:r w:rsidRPr="000834F5">
        <w:rPr>
          <w:rFonts w:ascii="Tahoma" w:eastAsia="Times New Roman" w:hAnsi="Tahoma" w:cs="Tahoma"/>
          <w:lang w:eastAsia="it-IT"/>
        </w:rPr>
        <w:pict>
          <v:rect id="_x0000_i1025" style="width:317.15pt;height:1.5pt;mso-position-horizontal:absolute" o:hralign="center" o:hrstd="t" o:hrnoshade="t" o:hr="t" fillcolor="#7f7f7f [1612]" stroked="f"/>
        </w:pict>
      </w:r>
    </w:p>
    <w:p w:rsidR="00945C2B" w:rsidRPr="00F5287F" w:rsidRDefault="000834F5" w:rsidP="00DC7C91">
      <w:pPr>
        <w:spacing w:after="0" w:line="240" w:lineRule="auto"/>
        <w:jc w:val="both"/>
        <w:rPr>
          <w:rFonts w:ascii="Tahoma" w:eastAsia="Times New Roman" w:hAnsi="Tahoma" w:cs="Tahoma"/>
          <w:b/>
          <w:lang w:eastAsia="it-IT"/>
        </w:rPr>
      </w:pPr>
      <w:r w:rsidRPr="00F5287F">
        <w:rPr>
          <w:rFonts w:ascii="Tahoma" w:eastAsia="Times New Roman" w:hAnsi="Tahoma" w:cs="Tahoma"/>
          <w:b/>
          <w:lang w:eastAsia="it-IT"/>
        </w:rPr>
        <w:fldChar w:fldCharType="begin"/>
      </w:r>
      <w:r w:rsidR="00945C2B" w:rsidRPr="00F5287F">
        <w:rPr>
          <w:rFonts w:ascii="Tahoma" w:eastAsia="Times New Roman" w:hAnsi="Tahoma" w:cs="Tahoma"/>
          <w:b/>
          <w:lang w:eastAsia="it-IT"/>
        </w:rPr>
        <w:instrText xml:space="preserve"> TIME \@ "dd/MM/yyyy" </w:instrText>
      </w:r>
      <w:r w:rsidRPr="00F5287F">
        <w:rPr>
          <w:rFonts w:ascii="Tahoma" w:eastAsia="Times New Roman" w:hAnsi="Tahoma" w:cs="Tahoma"/>
          <w:b/>
          <w:lang w:eastAsia="it-IT"/>
        </w:rPr>
        <w:fldChar w:fldCharType="separate"/>
      </w:r>
      <w:r w:rsidR="000C231D">
        <w:rPr>
          <w:rFonts w:ascii="Tahoma" w:eastAsia="Times New Roman" w:hAnsi="Tahoma" w:cs="Tahoma"/>
          <w:b/>
          <w:noProof/>
          <w:lang w:eastAsia="it-IT"/>
        </w:rPr>
        <w:t>11/09/2012</w:t>
      </w:r>
      <w:r w:rsidRPr="00F5287F">
        <w:rPr>
          <w:rFonts w:ascii="Tahoma" w:eastAsia="Times New Roman" w:hAnsi="Tahoma" w:cs="Tahoma"/>
          <w:b/>
          <w:lang w:eastAsia="it-IT"/>
        </w:rPr>
        <w:fldChar w:fldCharType="end"/>
      </w:r>
    </w:p>
    <w:p w:rsidR="00437CAC" w:rsidRPr="00F5287F" w:rsidRDefault="00437CAC" w:rsidP="00DC7C91">
      <w:pPr>
        <w:spacing w:after="0" w:line="240" w:lineRule="auto"/>
        <w:jc w:val="both"/>
        <w:rPr>
          <w:rFonts w:ascii="Tahoma" w:eastAsia="Times New Roman" w:hAnsi="Tahoma" w:cs="Tahoma"/>
          <w:lang w:eastAsia="it-IT"/>
        </w:rPr>
      </w:pPr>
    </w:p>
    <w:p w:rsidR="00B0174E" w:rsidRDefault="00B0174E" w:rsidP="00B0174E">
      <w:pPr>
        <w:pStyle w:val="Titolo2"/>
        <w:jc w:val="both"/>
      </w:pPr>
      <w:r>
        <w:t xml:space="preserve">IMU - Prime </w:t>
      </w:r>
      <w:r w:rsidR="00030AFE">
        <w:t>linee guida del M</w:t>
      </w:r>
      <w:r>
        <w:t>inistero dell’Economia e F</w:t>
      </w:r>
      <w:r w:rsidR="00030AFE">
        <w:t>inanze</w:t>
      </w:r>
      <w:r>
        <w:t xml:space="preserve"> che i Comuni dovranno seguire per la redazione del regolamento IMU </w:t>
      </w:r>
    </w:p>
    <w:p w:rsidR="00B0174E" w:rsidRDefault="00804DB1" w:rsidP="00B0174E">
      <w:pPr>
        <w:pStyle w:val="NormaleWeb"/>
        <w:jc w:val="both"/>
      </w:pPr>
      <w:r>
        <w:t>I</w:t>
      </w:r>
      <w:r w:rsidR="00B0174E">
        <w:t xml:space="preserve">l Ministero delle Finanze ha pubblicato le </w:t>
      </w:r>
      <w:r w:rsidR="00B0174E">
        <w:rPr>
          <w:rStyle w:val="Enfasigrassetto"/>
        </w:rPr>
        <w:t>linee guida per i Comuni per la redazione del regolamento</w:t>
      </w:r>
      <w:r w:rsidR="00B0174E">
        <w:t xml:space="preserve">, che illustrano in dettaglio i contenuti e le finalità di ciascun articolo del </w:t>
      </w:r>
      <w:r w:rsidR="00B0174E">
        <w:rPr>
          <w:rStyle w:val="Enfasigrassetto"/>
        </w:rPr>
        <w:t>prototipo di regolamento</w:t>
      </w:r>
      <w:r w:rsidR="00B0174E">
        <w:t xml:space="preserve">, comprensive del relativo allegato, in cui sono contenuti i principali rilievi formulati dal Dipartimento delle Finanze nell’ambito dell’attività di esame dei regolamenti e delle delibere di approvazione delle aliquote, al fine di evidenziare le disposizioni regolamentari non coerenti con la </w:t>
      </w:r>
      <w:r w:rsidR="00B0174E">
        <w:rPr>
          <w:rStyle w:val="Enfasigrassetto"/>
        </w:rPr>
        <w:t>disciplina dell’IMU</w:t>
      </w:r>
      <w:r w:rsidR="000E5F14">
        <w:t>.</w:t>
      </w:r>
    </w:p>
    <w:p w:rsidR="000E5F14" w:rsidRDefault="000E5F14" w:rsidP="00B0174E">
      <w:pPr>
        <w:pStyle w:val="NormaleWeb"/>
        <w:jc w:val="both"/>
      </w:pPr>
      <w:r>
        <w:t>In particolare, i</w:t>
      </w:r>
      <w:r w:rsidR="00B0174E" w:rsidRPr="00B0174E">
        <w:t xml:space="preserve">n merito alla </w:t>
      </w:r>
      <w:r w:rsidR="00030AFE" w:rsidRPr="00B0174E">
        <w:t>possibilità per i comuni di considerare adibita ad</w:t>
      </w:r>
      <w:r w:rsidR="00B0174E">
        <w:t xml:space="preserve"> abitazione principale </w:t>
      </w:r>
    </w:p>
    <w:p w:rsidR="000E5F14" w:rsidRDefault="00B0174E" w:rsidP="000E5F14">
      <w:pPr>
        <w:pStyle w:val="NormaleWeb"/>
        <w:numPr>
          <w:ilvl w:val="0"/>
          <w:numId w:val="8"/>
        </w:numPr>
        <w:jc w:val="both"/>
      </w:pPr>
      <w:r>
        <w:t>l’</w:t>
      </w:r>
      <w:r>
        <w:rPr>
          <w:rStyle w:val="Enfasigrassetto"/>
        </w:rPr>
        <w:t>un</w:t>
      </w:r>
      <w:r w:rsidR="00030AFE" w:rsidRPr="00B0174E">
        <w:rPr>
          <w:rStyle w:val="Enfasigrassetto"/>
        </w:rPr>
        <w:t>ità immobiliare non locata</w:t>
      </w:r>
      <w:r w:rsidRPr="00B0174E">
        <w:t xml:space="preserve"> </w:t>
      </w:r>
      <w:r w:rsidR="00030AFE" w:rsidRPr="00B0174E">
        <w:rPr>
          <w:rStyle w:val="Enfasigrassetto"/>
        </w:rPr>
        <w:t>posseduta a titolo di proprietà o di usufrutto da anziani o disabili</w:t>
      </w:r>
      <w:r w:rsidR="00030AFE" w:rsidRPr="00B0174E">
        <w:t xml:space="preserve"> che stabiliscono la residenza presso istituti di ricovero o sanitari a seguito di ricovero permanente</w:t>
      </w:r>
    </w:p>
    <w:p w:rsidR="000E5F14" w:rsidRDefault="00030AFE" w:rsidP="000E5F14">
      <w:pPr>
        <w:pStyle w:val="NormaleWeb"/>
        <w:numPr>
          <w:ilvl w:val="0"/>
          <w:numId w:val="8"/>
        </w:numPr>
        <w:jc w:val="both"/>
      </w:pPr>
      <w:r w:rsidRPr="00B0174E">
        <w:rPr>
          <w:rStyle w:val="Enfasigrassetto"/>
        </w:rPr>
        <w:t>posseduta a titolo di proprietà o di usufrutto da cittadini italiani residenti al di fuori del territorio</w:t>
      </w:r>
      <w:r w:rsidRPr="00B0174E">
        <w:t xml:space="preserve"> dello Stato,</w:t>
      </w:r>
      <w:r w:rsidR="00B0174E" w:rsidRPr="00B0174E">
        <w:t xml:space="preserve"> </w:t>
      </w:r>
    </w:p>
    <w:p w:rsidR="00B0174E" w:rsidRDefault="000E5F14" w:rsidP="000E5F14">
      <w:pPr>
        <w:pStyle w:val="NormaleWeb"/>
        <w:jc w:val="both"/>
      </w:pPr>
      <w:r>
        <w:rPr>
          <w:rStyle w:val="Enfasigrassetto"/>
        </w:rPr>
        <w:t xml:space="preserve">le linee guida </w:t>
      </w:r>
      <w:r w:rsidR="00030AFE" w:rsidRPr="00B0174E">
        <w:t>hanno precisato che tale assimilazione si riferisce esclusivamente alle unità immobiliari possedute da anziani o disabili che acquisiscono la residenza presso istituti di ricovero e non anche all’ipotesi in cui la residenza venga fissata presso un parente o affine.</w:t>
      </w:r>
      <w:r>
        <w:t xml:space="preserve"> </w:t>
      </w:r>
      <w:r w:rsidR="00030AFE" w:rsidRPr="00B0174E">
        <w:t>Tuttavia, nel caso in esame, ai sensi dell’art. 13 comma 6 del D.L. n. 201/2011 e nell’esercizio della propria autonomia regolamentare, come confermato dal rilievo n. 12 delle linee guida del Ministero dell’Economia e delle finanze, il Comune può comunque deliberare un’</w:t>
      </w:r>
      <w:r w:rsidR="00030AFE" w:rsidRPr="00B0174E">
        <w:rPr>
          <w:rStyle w:val="Enfasigrassetto"/>
        </w:rPr>
        <w:t>aliquota agevolata</w:t>
      </w:r>
      <w:r w:rsidR="00030AFE" w:rsidRPr="00B0174E">
        <w:t>, purché non inferiore allo 0,46 per cento.</w:t>
      </w:r>
      <w:r>
        <w:t xml:space="preserve"> </w:t>
      </w:r>
      <w:r w:rsidR="00030AFE">
        <w:t>Dall’esame delle linee guida emerge anche che, sempreché i Comuni abbiano previsto l’assimilazione all’</w:t>
      </w:r>
      <w:r w:rsidR="00030AFE" w:rsidRPr="00A9482E">
        <w:t>abitazione principale</w:t>
      </w:r>
      <w:r w:rsidR="00030AFE">
        <w:t xml:space="preserve">, agli </w:t>
      </w:r>
      <w:r w:rsidR="00030AFE" w:rsidRPr="00A9482E">
        <w:t>immobili</w:t>
      </w:r>
      <w:r w:rsidR="00030AFE">
        <w:t xml:space="preserve"> posseduti da anziani e disabili si applicano l’aliquota ridotta, la detrazione per l’unità immobiliare adibita ad abitazione principale e la maggiorazione prevista in relazione a ciascun figlio di età non superiore ai 26 anni dimorante abitualmente e residente anagraficamente nell’unità immobiliare.</w:t>
      </w:r>
      <w:r>
        <w:t xml:space="preserve"> </w:t>
      </w:r>
      <w:r w:rsidR="00030AFE">
        <w:t xml:space="preserve">L’assimilazione dell’unità immobiliare in esame ad abitazione principale comporta che non dovrà essere computata invece la quota riservata allo Stato e che al contribuente sarà concessa la possibilità di effettuare il </w:t>
      </w:r>
      <w:r w:rsidR="00030AFE">
        <w:rPr>
          <w:rStyle w:val="Enfasigrassetto"/>
        </w:rPr>
        <w:t>versamento dell’IMU in tre rate</w:t>
      </w:r>
      <w:r w:rsidR="00030AFE">
        <w:t xml:space="preserve"> anziché soltanto in due.</w:t>
      </w:r>
      <w:r>
        <w:t xml:space="preserve"> </w:t>
      </w:r>
      <w:r w:rsidR="00030AFE">
        <w:t>Per ciò che riguarda l’unità immobiliare concessa in uso gratuito ai parenti, anche se è confermato che i Comuni non possano equipararla ad abitazione principale (nemmeno con proprio regolamento o delibera), l’ente locale può deliberare un’aliquota agevolata ridotta (fino allo 0,46 per cento)</w:t>
      </w:r>
      <w:r w:rsidR="00B0174E">
        <w:t>.</w:t>
      </w:r>
    </w:p>
    <w:p w:rsidR="00804DB1" w:rsidRDefault="00804DB1" w:rsidP="000C231D">
      <w:pPr>
        <w:pStyle w:val="NormaleWeb"/>
        <w:jc w:val="both"/>
      </w:pPr>
      <w:r>
        <w:t xml:space="preserve">In Allegato le </w:t>
      </w:r>
      <w:hyperlink r:id="rId8" w:history="1">
        <w:r w:rsidRPr="00A9482E">
          <w:rPr>
            <w:rStyle w:val="Collegamentoipertestuale"/>
          </w:rPr>
          <w:t>Linee Guida</w:t>
        </w:r>
      </w:hyperlink>
      <w:r>
        <w:t xml:space="preserve"> e il </w:t>
      </w:r>
      <w:hyperlink r:id="rId9" w:history="1">
        <w:r w:rsidR="00A9482E" w:rsidRPr="00A9482E">
          <w:rPr>
            <w:rStyle w:val="Collegamentoipertestuale"/>
          </w:rPr>
          <w:t>format di Regolamento</w:t>
        </w:r>
      </w:hyperlink>
      <w:r w:rsidR="00A9482E">
        <w:t xml:space="preserve"> </w:t>
      </w:r>
      <w:r>
        <w:t>di ausilio per i Comuni nella predisposizione dell’atto).</w:t>
      </w:r>
      <w:r w:rsidR="000C231D">
        <w:t xml:space="preserve"> </w:t>
      </w:r>
    </w:p>
    <w:sectPr w:rsidR="00804DB1" w:rsidSect="00DC7C91">
      <w:headerReference w:type="default" r:id="rId10"/>
      <w:pgSz w:w="11906" w:h="16838" w:code="9"/>
      <w:pgMar w:top="567" w:right="566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905" w:rsidRDefault="00756905" w:rsidP="000D28E4">
      <w:pPr>
        <w:spacing w:after="0" w:line="240" w:lineRule="auto"/>
      </w:pPr>
      <w:r>
        <w:separator/>
      </w:r>
    </w:p>
  </w:endnote>
  <w:endnote w:type="continuationSeparator" w:id="0">
    <w:p w:rsidR="00756905" w:rsidRDefault="00756905" w:rsidP="000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905" w:rsidRDefault="00756905" w:rsidP="000D28E4">
      <w:pPr>
        <w:spacing w:after="0" w:line="240" w:lineRule="auto"/>
      </w:pPr>
      <w:r>
        <w:separator/>
      </w:r>
    </w:p>
  </w:footnote>
  <w:footnote w:type="continuationSeparator" w:id="0">
    <w:p w:rsidR="00756905" w:rsidRDefault="00756905" w:rsidP="000D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E4" w:rsidRDefault="001F48B6" w:rsidP="001F48B6">
    <w:pPr>
      <w:pStyle w:val="Intestazione"/>
      <w:jc w:val="right"/>
    </w:pPr>
    <w:r w:rsidRPr="001F48B6"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4142105</wp:posOffset>
          </wp:positionH>
          <wp:positionV relativeFrom="paragraph">
            <wp:posOffset>59055</wp:posOffset>
          </wp:positionV>
          <wp:extent cx="2700020" cy="880745"/>
          <wp:effectExtent l="0" t="38100" r="0" b="319405"/>
          <wp:wrapSquare wrapText="bothSides"/>
          <wp:docPr id="2" name="Immagine 2" descr="C:\Documenti Studio\3. WEB\_LOGHI ANGIOLINI\_loghi angiol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i Studio\3. WEB\_LOGHI ANGIOLINI\_loghi angiolin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-4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880745"/>
                  </a:xfrm>
                  <a:prstGeom prst="rect">
                    <a:avLst/>
                  </a:prstGeom>
                  <a:ln>
                    <a:noFill/>
                  </a:ln>
                  <a:effectLst>
                    <a:reflection blurRad="12700" stA="30000" endPos="30000" dist="5000" dir="5400000" sy="-100000" algn="bl" rotWithShape="0"/>
                  </a:effectLst>
                  <a:scene3d>
                    <a:camera prst="perspectiveContrastingLeftFacing">
                      <a:rot lat="300000" lon="19800000" rev="0"/>
                    </a:camera>
                    <a:lightRig rig="threePt" dir="t">
                      <a:rot lat="0" lon="0" rev="2700000"/>
                    </a:lightRig>
                  </a:scene3d>
                  <a:sp3d>
                    <a:bevelT w="63500" h="50800"/>
                  </a:sp3d>
                </pic:spPr>
              </pic:pic>
            </a:graphicData>
          </a:graphic>
        </wp:anchor>
      </w:drawing>
    </w:r>
    <w:sdt>
      <w:sdtPr>
        <w:id w:val="33665921"/>
        <w:docPartObj>
          <w:docPartGallery w:val="Page Numbers (Margins)"/>
          <w:docPartUnique/>
        </w:docPartObj>
      </w:sdtPr>
      <w:sdtContent>
        <w:r w:rsidR="000834F5">
          <w:rPr>
            <w:noProof/>
            <w:lang w:eastAsia="zh-TW"/>
          </w:rPr>
          <w:pict>
            <v:rect id="_x0000_s1025" style="position:absolute;left:0;text-align:left;margin-left:416.85pt;margin-top:0;width:57.55pt;height:25.95pt;z-index:251661312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4022A8" w:rsidRDefault="000834F5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75690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6EC"/>
    <w:multiLevelType w:val="hybridMultilevel"/>
    <w:tmpl w:val="594C3464"/>
    <w:lvl w:ilvl="0" w:tplc="7702022A">
      <w:start w:val="3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2640A"/>
    <w:multiLevelType w:val="hybridMultilevel"/>
    <w:tmpl w:val="BBE488F0"/>
    <w:lvl w:ilvl="0" w:tplc="27020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183E81"/>
    <w:multiLevelType w:val="multilevel"/>
    <w:tmpl w:val="31D4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93522"/>
    <w:multiLevelType w:val="multilevel"/>
    <w:tmpl w:val="66CC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02319"/>
    <w:multiLevelType w:val="hybridMultilevel"/>
    <w:tmpl w:val="B90CB0FE"/>
    <w:lvl w:ilvl="0" w:tplc="5002E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34752"/>
    <w:multiLevelType w:val="multilevel"/>
    <w:tmpl w:val="D214C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67005"/>
    <w:multiLevelType w:val="hybridMultilevel"/>
    <w:tmpl w:val="292247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4543A"/>
    <w:multiLevelType w:val="hybridMultilevel"/>
    <w:tmpl w:val="F75AE250"/>
    <w:lvl w:ilvl="0" w:tplc="27020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Letter"/>
        <w:lvlText w:val="%1."/>
        <w:lvlJc w:val="left"/>
      </w:lvl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35842">
      <o:colormenu v:ext="edit" fillcolor="none [273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D28E4"/>
    <w:rsid w:val="00021774"/>
    <w:rsid w:val="00030AFE"/>
    <w:rsid w:val="00067EE2"/>
    <w:rsid w:val="000834F5"/>
    <w:rsid w:val="000C231D"/>
    <w:rsid w:val="000D28E4"/>
    <w:rsid w:val="000D6286"/>
    <w:rsid w:val="000E5F14"/>
    <w:rsid w:val="001266D4"/>
    <w:rsid w:val="0016209F"/>
    <w:rsid w:val="001747BD"/>
    <w:rsid w:val="001E64DA"/>
    <w:rsid w:val="001E7D8F"/>
    <w:rsid w:val="001F48B6"/>
    <w:rsid w:val="00200A61"/>
    <w:rsid w:val="0028491A"/>
    <w:rsid w:val="002A7EB7"/>
    <w:rsid w:val="002D16A5"/>
    <w:rsid w:val="00315AA3"/>
    <w:rsid w:val="003805B1"/>
    <w:rsid w:val="003C48FF"/>
    <w:rsid w:val="004022A8"/>
    <w:rsid w:val="0043043F"/>
    <w:rsid w:val="00437CAC"/>
    <w:rsid w:val="004853D9"/>
    <w:rsid w:val="0048571F"/>
    <w:rsid w:val="004F12EA"/>
    <w:rsid w:val="00500B2D"/>
    <w:rsid w:val="00542A21"/>
    <w:rsid w:val="00567C7C"/>
    <w:rsid w:val="00590382"/>
    <w:rsid w:val="005B52D2"/>
    <w:rsid w:val="005C4141"/>
    <w:rsid w:val="005F35CD"/>
    <w:rsid w:val="00602A57"/>
    <w:rsid w:val="00602B58"/>
    <w:rsid w:val="006C23D8"/>
    <w:rsid w:val="006C2978"/>
    <w:rsid w:val="006E62A3"/>
    <w:rsid w:val="00731233"/>
    <w:rsid w:val="00735687"/>
    <w:rsid w:val="007438DE"/>
    <w:rsid w:val="00756905"/>
    <w:rsid w:val="00780B84"/>
    <w:rsid w:val="007B7DB5"/>
    <w:rsid w:val="007C2BAC"/>
    <w:rsid w:val="00804DB1"/>
    <w:rsid w:val="00891B4B"/>
    <w:rsid w:val="008A6DF0"/>
    <w:rsid w:val="008E620A"/>
    <w:rsid w:val="0094413D"/>
    <w:rsid w:val="00945C2B"/>
    <w:rsid w:val="00951750"/>
    <w:rsid w:val="009716B5"/>
    <w:rsid w:val="009A4702"/>
    <w:rsid w:val="009D001C"/>
    <w:rsid w:val="00A9482E"/>
    <w:rsid w:val="00AA6965"/>
    <w:rsid w:val="00AC3299"/>
    <w:rsid w:val="00AC4AE4"/>
    <w:rsid w:val="00AE32A5"/>
    <w:rsid w:val="00B0174E"/>
    <w:rsid w:val="00B34178"/>
    <w:rsid w:val="00B85FD3"/>
    <w:rsid w:val="00B972E8"/>
    <w:rsid w:val="00BC65FA"/>
    <w:rsid w:val="00BD2391"/>
    <w:rsid w:val="00BE0E6E"/>
    <w:rsid w:val="00C32691"/>
    <w:rsid w:val="00CA115C"/>
    <w:rsid w:val="00CA2FF7"/>
    <w:rsid w:val="00CB0DBB"/>
    <w:rsid w:val="00CD1713"/>
    <w:rsid w:val="00D7250F"/>
    <w:rsid w:val="00DA0113"/>
    <w:rsid w:val="00DB2F01"/>
    <w:rsid w:val="00DC701D"/>
    <w:rsid w:val="00DC7C91"/>
    <w:rsid w:val="00E32D65"/>
    <w:rsid w:val="00E81FA3"/>
    <w:rsid w:val="00E8241D"/>
    <w:rsid w:val="00EB6012"/>
    <w:rsid w:val="00F5287F"/>
    <w:rsid w:val="00F67295"/>
    <w:rsid w:val="00F7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273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413D"/>
  </w:style>
  <w:style w:type="paragraph" w:styleId="Titolo1">
    <w:name w:val="heading 1"/>
    <w:basedOn w:val="Normale"/>
    <w:link w:val="Titolo1Carattere"/>
    <w:uiPriority w:val="9"/>
    <w:qFormat/>
    <w:rsid w:val="001F4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C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1F48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0A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Calendar3">
    <w:name w:val="Calendar 3"/>
    <w:basedOn w:val="Tabellanormale"/>
    <w:uiPriority w:val="99"/>
    <w:qFormat/>
    <w:rsid w:val="000D28E4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Grigliatabella">
    <w:name w:val="Table Grid"/>
    <w:basedOn w:val="Tabellanormale"/>
    <w:uiPriority w:val="59"/>
    <w:rsid w:val="000D2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">
    <w:name w:val="Light List"/>
    <w:basedOn w:val="Tabellanormale"/>
    <w:uiPriority w:val="61"/>
    <w:rsid w:val="000D28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stazione">
    <w:name w:val="header"/>
    <w:basedOn w:val="Normale"/>
    <w:link w:val="IntestazioneCarattere"/>
    <w:uiPriority w:val="99"/>
    <w:semiHidden/>
    <w:unhideWhenUsed/>
    <w:rsid w:val="000D2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28E4"/>
  </w:style>
  <w:style w:type="paragraph" w:styleId="Pidipagina">
    <w:name w:val="footer"/>
    <w:basedOn w:val="Normale"/>
    <w:link w:val="PidipaginaCarattere"/>
    <w:uiPriority w:val="99"/>
    <w:semiHidden/>
    <w:unhideWhenUsed/>
    <w:rsid w:val="000D2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28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8E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F48B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48B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nhideWhenUsed/>
    <w:rsid w:val="00315AA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15AA3"/>
    <w:rPr>
      <w:b/>
      <w:bCs/>
    </w:rPr>
  </w:style>
  <w:style w:type="paragraph" w:styleId="Paragrafoelenco">
    <w:name w:val="List Paragraph"/>
    <w:basedOn w:val="Normale"/>
    <w:uiPriority w:val="34"/>
    <w:qFormat/>
    <w:rsid w:val="00945C2B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C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DC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C7C91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0A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etadate">
    <w:name w:val="meta_date"/>
    <w:basedOn w:val="Carpredefinitoparagrafo"/>
    <w:rsid w:val="00030AFE"/>
  </w:style>
  <w:style w:type="character" w:customStyle="1" w:styleId="metaauthor">
    <w:name w:val="meta_author"/>
    <w:basedOn w:val="Carpredefinitoparagrafo"/>
    <w:rsid w:val="00030AFE"/>
  </w:style>
  <w:style w:type="character" w:customStyle="1" w:styleId="abstract16pxblu">
    <w:name w:val="abstract16pxblu"/>
    <w:basedOn w:val="Carpredefinitoparagrafo"/>
    <w:rsid w:val="00B01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inee%20Guid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ormat_Regolamento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EE1A4-FAE1-40A7-B426-23BCC83B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IMU - Prime linee guida del Ministero dell’Economia e Finanze che i Comuni dovra</vt:lpstr>
      <vt:lpstr>Dichiarazione IMU entro il 1  ottobre </vt:lpstr>
      <vt:lpstr>    I contribuenti che hanno cambiato la loro situazione immobiliare dovranno presen</vt:lpstr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10</cp:revision>
  <cp:lastPrinted>2012-04-15T18:11:00Z</cp:lastPrinted>
  <dcterms:created xsi:type="dcterms:W3CDTF">2012-09-05T14:55:00Z</dcterms:created>
  <dcterms:modified xsi:type="dcterms:W3CDTF">2012-09-11T17:14:00Z</dcterms:modified>
</cp:coreProperties>
</file>